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4610"/>
        <w:gridCol w:w="2850"/>
      </w:tblGrid>
      <w:tr w:rsidR="000C63D7" w:rsidRPr="009C3973" w14:paraId="591B399A" w14:textId="77777777" w:rsidTr="000C63D7"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251B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39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43A8" w14:textId="77777777" w:rsidR="000C63D7" w:rsidRDefault="00CC0C91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Heart-Brain Connection – crossroads (</w:t>
            </w:r>
            <w:proofErr w:type="spellStart"/>
            <w:r w:rsidRPr="0055712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HBCx</w:t>
            </w:r>
            <w:proofErr w:type="spellEnd"/>
            <w:r w:rsidRPr="0055712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)</w:t>
            </w:r>
          </w:p>
          <w:p w14:paraId="1795639D" w14:textId="440942E9" w:rsidR="009C3973" w:rsidRPr="009C3973" w:rsidRDefault="009C3973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C3973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By: Astrid Hooghiemstra, </w:t>
            </w:r>
            <w:hyperlink r:id="rId5" w:history="1">
              <w:r w:rsidRPr="00A90EB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t>a.hooghiemstra@amsterdamumc.nl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r w:rsidRPr="009C3973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 November 2021</w:t>
            </w:r>
          </w:p>
        </w:tc>
      </w:tr>
      <w:tr w:rsidR="000C63D7" w:rsidRPr="009C3973" w14:paraId="01855EB9" w14:textId="77777777" w:rsidTr="000C63D7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B24C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Description</w:t>
            </w:r>
          </w:p>
        </w:tc>
        <w:tc>
          <w:tcPr>
            <w:tcW w:w="3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CFEB" w14:textId="77777777" w:rsidR="0019705C" w:rsidRPr="00557129" w:rsidRDefault="0019705C" w:rsidP="0019705C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The Heart-Brain Connection – crossroads (</w:t>
            </w:r>
            <w:proofErr w:type="spellStart"/>
            <w:r w:rsidRPr="00557129">
              <w:rPr>
                <w:rFonts w:cstheme="minorHAnsi"/>
                <w:lang w:val="en-US"/>
              </w:rPr>
              <w:t>HBCx</w:t>
            </w:r>
            <w:proofErr w:type="spellEnd"/>
            <w:r w:rsidRPr="00557129">
              <w:rPr>
                <w:rFonts w:cstheme="minorHAnsi"/>
                <w:lang w:val="en-US"/>
              </w:rPr>
              <w:t>) consortium focuses</w:t>
            </w:r>
            <w:r w:rsidR="00E0781A" w:rsidRPr="00557129">
              <w:rPr>
                <w:rFonts w:cstheme="minorHAnsi"/>
                <w:lang w:val="en-US"/>
              </w:rPr>
              <w:t xml:space="preserve"> on the central hypothesis that hemodynamic changes are an important and potentially reversible cause of </w:t>
            </w:r>
            <w:r w:rsidRPr="00557129">
              <w:rPr>
                <w:rFonts w:cstheme="minorHAnsi"/>
                <w:lang w:val="en-US"/>
              </w:rPr>
              <w:t>vascular cognitive impairment</w:t>
            </w:r>
            <w:r w:rsidR="00E0781A" w:rsidRPr="00557129">
              <w:rPr>
                <w:rFonts w:cstheme="minorHAnsi"/>
                <w:lang w:val="en-US"/>
              </w:rPr>
              <w:t xml:space="preserve">. </w:t>
            </w:r>
            <w:r w:rsidRPr="00557129">
              <w:rPr>
                <w:rFonts w:cstheme="minorHAnsi"/>
                <w:lang w:val="en-US"/>
              </w:rPr>
              <w:t>We take</w:t>
            </w:r>
            <w:r w:rsidR="00E0781A" w:rsidRPr="00557129">
              <w:rPr>
                <w:rFonts w:cstheme="minorHAnsi"/>
                <w:lang w:val="en-US"/>
              </w:rPr>
              <w:t xml:space="preserve"> a multidimensional (i.e. crossroads) approach to hemodynamics, also addressing flow regulation and variability and factors that modul</w:t>
            </w:r>
            <w:bookmarkStart w:id="0" w:name="_GoBack"/>
            <w:bookmarkEnd w:id="0"/>
            <w:r w:rsidR="00E0781A" w:rsidRPr="00557129">
              <w:rPr>
                <w:rFonts w:cstheme="minorHAnsi"/>
                <w:lang w:val="en-US"/>
              </w:rPr>
              <w:t xml:space="preserve">ate the impact of hemodynamic disturbances in VCI. We will evaluate the role of hemodynamics in </w:t>
            </w:r>
            <w:r w:rsidRPr="00557129">
              <w:rPr>
                <w:rFonts w:cstheme="minorHAnsi"/>
                <w:lang w:val="en-US"/>
              </w:rPr>
              <w:t>vascular cognitive impairment</w:t>
            </w:r>
            <w:r w:rsidR="00E0781A" w:rsidRPr="00557129">
              <w:rPr>
                <w:rFonts w:cstheme="minorHAnsi"/>
                <w:lang w:val="en-US"/>
              </w:rPr>
              <w:t xml:space="preserve"> in: </w:t>
            </w:r>
          </w:p>
          <w:p w14:paraId="298E610F" w14:textId="77777777" w:rsidR="0019705C" w:rsidRPr="00557129" w:rsidRDefault="00E0781A" w:rsidP="0019705C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Key cardiac conditions, i.e. atrial fibrillation, </w:t>
            </w:r>
            <w:proofErr w:type="spellStart"/>
            <w:r w:rsidRPr="00557129">
              <w:rPr>
                <w:rFonts w:cstheme="minorHAnsi"/>
                <w:lang w:val="en-US"/>
              </w:rPr>
              <w:t>valvular</w:t>
            </w:r>
            <w:proofErr w:type="spellEnd"/>
            <w:r w:rsidRPr="00557129">
              <w:rPr>
                <w:rFonts w:cstheme="minorHAnsi"/>
                <w:lang w:val="en-US"/>
              </w:rPr>
              <w:t xml:space="preserve"> disease, heart failure/venous congestion. </w:t>
            </w:r>
          </w:p>
          <w:p w14:paraId="562E4B7F" w14:textId="77777777" w:rsidR="0019705C" w:rsidRPr="00557129" w:rsidRDefault="00E0781A" w:rsidP="0019705C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Vascular factors, i.e. blood pressure variability, vascular reactivity, endothelial (</w:t>
            </w:r>
            <w:proofErr w:type="spellStart"/>
            <w:r w:rsidRPr="00557129">
              <w:rPr>
                <w:rFonts w:cstheme="minorHAnsi"/>
                <w:lang w:val="en-US"/>
              </w:rPr>
              <w:t>dys</w:t>
            </w:r>
            <w:proofErr w:type="spellEnd"/>
            <w:r w:rsidRPr="00557129">
              <w:rPr>
                <w:rFonts w:cstheme="minorHAnsi"/>
                <w:lang w:val="en-US"/>
              </w:rPr>
              <w:t>)function.</w:t>
            </w:r>
          </w:p>
          <w:p w14:paraId="4913392D" w14:textId="77777777" w:rsidR="000C63D7" w:rsidRPr="00557129" w:rsidRDefault="00E0781A" w:rsidP="0019705C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557129">
              <w:rPr>
                <w:rFonts w:cstheme="minorHAnsi"/>
                <w:lang w:val="en-US"/>
              </w:rPr>
              <w:t>The primary cerebral co-morbidity of VCI, amyloid pathology, i.e. assess interplay hemodynamics and amyloid.</w:t>
            </w:r>
          </w:p>
        </w:tc>
      </w:tr>
      <w:tr w:rsidR="000C63D7" w:rsidRPr="00557129" w14:paraId="64669899" w14:textId="77777777" w:rsidTr="005F78ED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9DD8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Location</w:t>
            </w:r>
          </w:p>
        </w:tc>
        <w:tc>
          <w:tcPr>
            <w:tcW w:w="3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61FA" w14:textId="77777777" w:rsidR="000C63D7" w:rsidRPr="00557129" w:rsidRDefault="00E0781A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Netherlands </w:t>
            </w:r>
          </w:p>
        </w:tc>
      </w:tr>
      <w:tr w:rsidR="000C63D7" w:rsidRPr="00557129" w14:paraId="7AAAC580" w14:textId="77777777" w:rsidTr="005F78ED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0B2F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Lead Institute</w:t>
            </w:r>
          </w:p>
        </w:tc>
        <w:tc>
          <w:tcPr>
            <w:tcW w:w="39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EF9A" w14:textId="77777777" w:rsidR="000C63D7" w:rsidRPr="00557129" w:rsidRDefault="00E0781A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LUMC</w:t>
            </w:r>
          </w:p>
        </w:tc>
      </w:tr>
      <w:tr w:rsidR="005F78ED" w:rsidRPr="00557129" w14:paraId="43C7B2E7" w14:textId="77777777" w:rsidTr="005F78ED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C88C" w14:textId="77777777" w:rsidR="005F78ED" w:rsidRPr="00557129" w:rsidRDefault="005F78ED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Cohort size</w:t>
            </w:r>
          </w:p>
        </w:tc>
        <w:tc>
          <w:tcPr>
            <w:tcW w:w="2462" w:type="pc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5EE1" w14:textId="77777777" w:rsidR="005F78ED" w:rsidRPr="00557129" w:rsidRDefault="005F78ED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566 participants</w:t>
            </w:r>
          </w:p>
          <w:p w14:paraId="4395A42C" w14:textId="77777777" w:rsidR="005F78ED" w:rsidRPr="00557129" w:rsidRDefault="005F78ED" w:rsidP="00671308">
            <w:pPr>
              <w:pStyle w:val="xmsonospacing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Carotid occlusive disease: </w:t>
            </w:r>
          </w:p>
          <w:p w14:paraId="5EC7FBEE" w14:textId="77777777" w:rsidR="005F78ED" w:rsidRPr="00557129" w:rsidRDefault="005F78ED" w:rsidP="00671308">
            <w:pPr>
              <w:pStyle w:val="xmsonospacing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Heart failure: </w:t>
            </w:r>
          </w:p>
          <w:p w14:paraId="3918D265" w14:textId="77777777" w:rsidR="005F78ED" w:rsidRPr="00557129" w:rsidRDefault="005F78ED" w:rsidP="005F78ED">
            <w:pPr>
              <w:pStyle w:val="xmsonospacing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Vascular cognitive impairment</w:t>
            </w:r>
            <w:r w:rsidR="001A4630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(VCI)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</w:p>
          <w:p w14:paraId="084C4CFA" w14:textId="77777777" w:rsidR="005F78ED" w:rsidRPr="00557129" w:rsidRDefault="005F78ED" w:rsidP="005F78ED">
            <w:pPr>
              <w:pStyle w:val="xmsonospacing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Reference participants: </w:t>
            </w:r>
          </w:p>
        </w:tc>
        <w:tc>
          <w:tcPr>
            <w:tcW w:w="152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1D5F4" w14:textId="77777777" w:rsidR="005F78ED" w:rsidRPr="00557129" w:rsidRDefault="005F78ED" w:rsidP="005F78ED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CE9E840" w14:textId="77777777" w:rsidR="005F78ED" w:rsidRPr="00557129" w:rsidRDefault="005F78ED" w:rsidP="005F78ED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n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= 109 </w:t>
            </w:r>
          </w:p>
          <w:p w14:paraId="347FCDC5" w14:textId="77777777" w:rsidR="005F78ED" w:rsidRPr="00557129" w:rsidRDefault="005F78ED" w:rsidP="005F78ED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n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= 162 </w:t>
            </w:r>
          </w:p>
          <w:p w14:paraId="2605D569" w14:textId="77777777" w:rsidR="005F78ED" w:rsidRPr="00557129" w:rsidRDefault="005F78ED" w:rsidP="005F78ED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n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= 166 </w:t>
            </w:r>
          </w:p>
          <w:p w14:paraId="48D8E4A0" w14:textId="77777777" w:rsidR="005F78ED" w:rsidRPr="00557129" w:rsidRDefault="005F78ED" w:rsidP="005F78ED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  <w:t>n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= 129</w:t>
            </w:r>
          </w:p>
        </w:tc>
      </w:tr>
      <w:tr w:rsidR="000C63D7" w:rsidRPr="00557129" w14:paraId="0A673908" w14:textId="77777777" w:rsidTr="000C63D7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2D85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Start Cohort</w:t>
            </w:r>
          </w:p>
        </w:tc>
        <w:tc>
          <w:tcPr>
            <w:tcW w:w="3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2CD7" w14:textId="77777777" w:rsidR="000C63D7" w:rsidRPr="00557129" w:rsidRDefault="00E0781A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2013</w:t>
            </w:r>
          </w:p>
        </w:tc>
      </w:tr>
      <w:tr w:rsidR="000C63D7" w:rsidRPr="009C3973" w14:paraId="065A2382" w14:textId="77777777" w:rsidTr="000C63D7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A460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Follow-up</w:t>
            </w:r>
          </w:p>
        </w:tc>
        <w:tc>
          <w:tcPr>
            <w:tcW w:w="3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C0C1" w14:textId="77777777" w:rsidR="000C63D7" w:rsidRPr="00557129" w:rsidRDefault="00E0781A" w:rsidP="00E0781A">
            <w:pPr>
              <w:pStyle w:val="xmso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Baseline</w:t>
            </w:r>
            <w:r w:rsidR="00D2372D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(BA)</w:t>
            </w:r>
          </w:p>
          <w:p w14:paraId="288089B3" w14:textId="77777777" w:rsidR="00E0781A" w:rsidRPr="00557129" w:rsidRDefault="00E0781A" w:rsidP="00E0781A">
            <w:pPr>
              <w:pStyle w:val="xmso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Follow-up after one year</w:t>
            </w:r>
            <w:r w:rsidR="00D2372D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(FU1 VCI)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only for patients with vascular cognit</w:t>
            </w:r>
            <w:r w:rsidR="00D2372D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ive impairment, focused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on cognitive functioning</w:t>
            </w:r>
          </w:p>
          <w:p w14:paraId="662F6CD8" w14:textId="77777777" w:rsidR="00E0781A" w:rsidRPr="00557129" w:rsidRDefault="00E0781A" w:rsidP="00E0781A">
            <w:pPr>
              <w:pStyle w:val="xmso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Follow-up after </w:t>
            </w:r>
            <w:r w:rsidR="00D2372D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years</w:t>
            </w:r>
            <w:r w:rsidR="00D2372D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(FU2)</w:t>
            </w:r>
          </w:p>
          <w:p w14:paraId="446F8BFC" w14:textId="77777777" w:rsidR="00E0781A" w:rsidRPr="00557129" w:rsidRDefault="00E0781A" w:rsidP="00D2372D">
            <w:pPr>
              <w:pStyle w:val="xmsonospacing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Follow-up after &gt; 50 months</w:t>
            </w:r>
            <w:r w:rsidR="00D2372D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(FU 50M)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telephone interview focused on clinical outcomes</w:t>
            </w:r>
          </w:p>
        </w:tc>
      </w:tr>
      <w:tr w:rsidR="000C63D7" w:rsidRPr="009C3973" w14:paraId="109C1017" w14:textId="77777777" w:rsidTr="000C63D7"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E75A" w14:textId="77777777" w:rsidR="000C63D7" w:rsidRPr="00557129" w:rsidRDefault="000C63D7" w:rsidP="000B2B34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Variables and Measurement methods</w:t>
            </w:r>
          </w:p>
        </w:tc>
        <w:tc>
          <w:tcPr>
            <w:tcW w:w="39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3937" w14:textId="77777777" w:rsidR="00D2372D" w:rsidRPr="00557129" w:rsidRDefault="00D2372D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Codebooks and standard operating procedures are available upon request. </w:t>
            </w:r>
          </w:p>
          <w:p w14:paraId="1F07E4CD" w14:textId="77777777" w:rsidR="00D2372D" w:rsidRPr="00557129" w:rsidRDefault="00D2372D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0CE13C94" w14:textId="77777777" w:rsidR="00E0781A" w:rsidRPr="00557129" w:rsidRDefault="00E20CBE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General demographics and </w:t>
            </w:r>
            <w:r w:rsidR="0061070B" w:rsidRPr="00557129">
              <w:rPr>
                <w:rFonts w:cstheme="minorHAnsi"/>
                <w:lang w:val="en-US"/>
              </w:rPr>
              <w:t>clinical assessment (</w:t>
            </w:r>
            <w:r w:rsidR="00D2372D" w:rsidRPr="00557129">
              <w:rPr>
                <w:rFonts w:cstheme="minorHAnsi"/>
                <w:lang w:val="en-US"/>
              </w:rPr>
              <w:t>BA</w:t>
            </w:r>
            <w:r w:rsidR="0061070B" w:rsidRPr="00557129">
              <w:rPr>
                <w:rFonts w:cstheme="minorHAnsi"/>
                <w:lang w:val="en-US"/>
              </w:rPr>
              <w:t>, FU2)</w:t>
            </w:r>
          </w:p>
          <w:p w14:paraId="37DDC4C5" w14:textId="77777777" w:rsidR="00E0781A" w:rsidRPr="00557129" w:rsidRDefault="00E0781A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Demography</w:t>
            </w:r>
          </w:p>
          <w:p w14:paraId="51D28C96" w14:textId="77777777" w:rsidR="00E0781A" w:rsidRPr="00557129" w:rsidRDefault="00E0781A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Anthropometry</w:t>
            </w:r>
          </w:p>
          <w:p w14:paraId="15683A3A" w14:textId="77777777" w:rsidR="0061070B" w:rsidRPr="00557129" w:rsidRDefault="00E20CBE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Smoking, alcohol status</w:t>
            </w:r>
          </w:p>
          <w:p w14:paraId="5A8E6D7A" w14:textId="77777777" w:rsidR="0061070B" w:rsidRPr="00557129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250ADA2E" w14:textId="77777777" w:rsidR="0061070B" w:rsidRPr="00557129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History (structured </w:t>
            </w:r>
            <w:r w:rsidR="001A4630" w:rsidRPr="00557129">
              <w:rPr>
                <w:rFonts w:cstheme="minorHAnsi"/>
                <w:lang w:val="en-US"/>
              </w:rPr>
              <w:t>questionnaire</w:t>
            </w:r>
            <w:r w:rsidRPr="00557129">
              <w:rPr>
                <w:rFonts w:cstheme="minorHAnsi"/>
                <w:lang w:val="en-US"/>
              </w:rPr>
              <w:t>) (</w:t>
            </w:r>
            <w:r w:rsidR="00D2372D" w:rsidRPr="00557129">
              <w:rPr>
                <w:rFonts w:cstheme="minorHAnsi"/>
                <w:lang w:val="en-US"/>
              </w:rPr>
              <w:t>BA</w:t>
            </w:r>
            <w:r w:rsidRPr="00557129">
              <w:rPr>
                <w:rFonts w:cstheme="minorHAnsi"/>
                <w:lang w:val="en-US"/>
              </w:rPr>
              <w:t>, FU2)</w:t>
            </w:r>
          </w:p>
          <w:p w14:paraId="2C60F007" w14:textId="77777777" w:rsidR="00E0781A" w:rsidRPr="00557129" w:rsidRDefault="00E0781A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Medical history</w:t>
            </w:r>
          </w:p>
          <w:p w14:paraId="1DE503CD" w14:textId="77777777" w:rsidR="00E0781A" w:rsidRPr="00557129" w:rsidRDefault="00E0781A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Family history</w:t>
            </w:r>
            <w:r w:rsidR="0061070B" w:rsidRPr="00557129">
              <w:rPr>
                <w:rFonts w:cstheme="minorHAnsi"/>
                <w:lang w:val="en-US"/>
              </w:rPr>
              <w:t xml:space="preserve"> regarding risk factors</w:t>
            </w:r>
          </w:p>
          <w:p w14:paraId="75CF9F58" w14:textId="77777777" w:rsidR="00671308" w:rsidRPr="00557129" w:rsidRDefault="00671308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Neurological history all participants</w:t>
            </w:r>
          </w:p>
          <w:p w14:paraId="3920E4EF" w14:textId="77777777" w:rsidR="00671308" w:rsidRPr="00557129" w:rsidRDefault="00671308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557129">
              <w:rPr>
                <w:rFonts w:cstheme="minorHAnsi"/>
                <w:lang w:val="en-US"/>
              </w:rPr>
              <w:t>Cardiological</w:t>
            </w:r>
            <w:proofErr w:type="spellEnd"/>
            <w:r w:rsidRPr="00557129">
              <w:rPr>
                <w:rFonts w:cstheme="minorHAnsi"/>
                <w:lang w:val="en-US"/>
              </w:rPr>
              <w:t xml:space="preserve"> history all participants</w:t>
            </w:r>
          </w:p>
          <w:p w14:paraId="3DFB894E" w14:textId="77777777" w:rsidR="00671308" w:rsidRPr="00557129" w:rsidRDefault="00671308" w:rsidP="00E0781A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Additional history for patients with heart failure</w:t>
            </w:r>
          </w:p>
          <w:p w14:paraId="75CF3F10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Additional</w:t>
            </w:r>
            <w:r w:rsidR="00671308" w:rsidRPr="00557129">
              <w:rPr>
                <w:rFonts w:cstheme="minorHAnsi"/>
                <w:lang w:val="en-US"/>
              </w:rPr>
              <w:t xml:space="preserve"> history for patients with carotid occlusive </w:t>
            </w:r>
            <w:r w:rsidRPr="00557129">
              <w:rPr>
                <w:rFonts w:cstheme="minorHAnsi"/>
                <w:lang w:val="en-US"/>
              </w:rPr>
              <w:t>disease</w:t>
            </w:r>
          </w:p>
          <w:p w14:paraId="2AB33ED4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Physical functioning</w:t>
            </w:r>
          </w:p>
          <w:p w14:paraId="397E01CA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Medication use</w:t>
            </w:r>
          </w:p>
          <w:p w14:paraId="321773C2" w14:textId="77777777" w:rsidR="0061070B" w:rsidRPr="00557129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48C096FE" w14:textId="77777777" w:rsidR="00E20CBE" w:rsidRPr="00557129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Clinical assessment (</w:t>
            </w:r>
            <w:r w:rsidR="00D2372D" w:rsidRPr="00557129">
              <w:rPr>
                <w:rFonts w:cstheme="minorHAnsi"/>
                <w:lang w:val="en-US"/>
              </w:rPr>
              <w:t>BA</w:t>
            </w:r>
            <w:r w:rsidRPr="00557129">
              <w:rPr>
                <w:rFonts w:cstheme="minorHAnsi"/>
                <w:lang w:val="en-US"/>
              </w:rPr>
              <w:t>, FU2)</w:t>
            </w:r>
          </w:p>
          <w:p w14:paraId="1F6D6CFC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Blood pressure</w:t>
            </w:r>
          </w:p>
          <w:p w14:paraId="43FAC9CD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Orthostatic hypotension </w:t>
            </w:r>
          </w:p>
          <w:p w14:paraId="071C978A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ECG </w:t>
            </w:r>
          </w:p>
          <w:p w14:paraId="6EEE4958" w14:textId="77777777" w:rsidR="0061070B" w:rsidRPr="00557129" w:rsidRDefault="0061070B" w:rsidP="0061070B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lastRenderedPageBreak/>
              <w:t>Physical examination</w:t>
            </w:r>
          </w:p>
          <w:p w14:paraId="4680A85C" w14:textId="77777777" w:rsidR="0061070B" w:rsidRPr="00557129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50C7A0C5" w14:textId="77777777" w:rsidR="00671308" w:rsidRPr="00557129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Other (</w:t>
            </w:r>
            <w:r w:rsidR="00D2372D" w:rsidRPr="00557129">
              <w:rPr>
                <w:rFonts w:cstheme="minorHAnsi"/>
                <w:lang w:val="en-US"/>
              </w:rPr>
              <w:t>BA</w:t>
            </w:r>
            <w:r w:rsidRPr="00557129">
              <w:rPr>
                <w:rFonts w:cstheme="minorHAnsi"/>
                <w:lang w:val="en-US"/>
              </w:rPr>
              <w:t>, FU2)</w:t>
            </w:r>
          </w:p>
          <w:p w14:paraId="156F8D1F" w14:textId="77777777" w:rsidR="0061070B" w:rsidRPr="00557129" w:rsidRDefault="0061070B" w:rsidP="0061070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Information on MRI (dates, software)</w:t>
            </w:r>
          </w:p>
          <w:p w14:paraId="738592C9" w14:textId="77777777" w:rsidR="00671308" w:rsidRPr="00557129" w:rsidRDefault="0061070B" w:rsidP="0061070B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Accidental findings</w:t>
            </w:r>
          </w:p>
          <w:p w14:paraId="665D0F85" w14:textId="77777777" w:rsidR="0061070B" w:rsidRPr="00557129" w:rsidRDefault="0061070B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1B294DBD" w14:textId="77777777" w:rsidR="00E0781A" w:rsidRPr="00557129" w:rsidRDefault="00E20CBE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N</w:t>
            </w:r>
            <w:r w:rsidR="00E0781A" w:rsidRPr="00557129">
              <w:rPr>
                <w:rFonts w:cstheme="minorHAnsi"/>
                <w:lang w:val="en-US"/>
              </w:rPr>
              <w:t>europsychological assessment</w:t>
            </w:r>
            <w:r w:rsidR="0061070B" w:rsidRPr="00557129">
              <w:rPr>
                <w:rFonts w:cstheme="minorHAnsi"/>
                <w:lang w:val="en-US"/>
              </w:rPr>
              <w:t xml:space="preserve"> (</w:t>
            </w:r>
            <w:r w:rsidR="00D2372D" w:rsidRPr="00557129">
              <w:rPr>
                <w:rFonts w:cstheme="minorHAnsi"/>
                <w:lang w:val="en-US"/>
              </w:rPr>
              <w:t>BA</w:t>
            </w:r>
            <w:r w:rsidR="0061070B" w:rsidRPr="00557129">
              <w:rPr>
                <w:rFonts w:cstheme="minorHAnsi"/>
                <w:lang w:val="en-US"/>
              </w:rPr>
              <w:t>, FU1 VCI, FU2)</w:t>
            </w:r>
          </w:p>
          <w:p w14:paraId="1A981F22" w14:textId="77777777" w:rsidR="0061070B" w:rsidRPr="008A5E1C" w:rsidRDefault="00E0781A" w:rsidP="00E0781A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>Cognitive functioning</w:t>
            </w:r>
            <w:r w:rsidR="00D2372D" w:rsidRPr="008A5E1C">
              <w:rPr>
                <w:rFonts w:cstheme="minorHAnsi"/>
                <w:lang w:val="en-US"/>
              </w:rPr>
              <w:t>, including memory, attention-psychomotor speed, and executive functioning</w:t>
            </w:r>
          </w:p>
          <w:p w14:paraId="58EF1C2A" w14:textId="77777777" w:rsidR="0061070B" w:rsidRPr="008A5E1C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681855AA" w14:textId="77777777" w:rsidR="00DE32A1" w:rsidRPr="008A5E1C" w:rsidRDefault="0061070B" w:rsidP="00DF1B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>C</w:t>
            </w:r>
            <w:r w:rsidR="00E0781A" w:rsidRPr="008A5E1C">
              <w:rPr>
                <w:rFonts w:cstheme="minorHAnsi"/>
                <w:lang w:val="en-US"/>
              </w:rPr>
              <w:t>ardiac MRI</w:t>
            </w:r>
            <w:r w:rsidRPr="008A5E1C">
              <w:rPr>
                <w:rFonts w:cstheme="minorHAnsi"/>
                <w:lang w:val="en-US"/>
              </w:rPr>
              <w:t xml:space="preserve"> (</w:t>
            </w:r>
            <w:r w:rsidR="00032764" w:rsidRPr="008A5E1C">
              <w:rPr>
                <w:rFonts w:cstheme="minorHAnsi"/>
                <w:lang w:val="en-US"/>
              </w:rPr>
              <w:t>BA</w:t>
            </w:r>
            <w:r w:rsidRPr="008A5E1C">
              <w:rPr>
                <w:rFonts w:cstheme="minorHAnsi"/>
                <w:lang w:val="en-US"/>
              </w:rPr>
              <w:t>)</w:t>
            </w:r>
          </w:p>
          <w:p w14:paraId="089B55DE" w14:textId="77777777" w:rsidR="00DF1B4D" w:rsidRPr="008A5E1C" w:rsidRDefault="00DF1B4D" w:rsidP="00DF1B4D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 xml:space="preserve">Aorta </w:t>
            </w:r>
            <w:proofErr w:type="spellStart"/>
            <w:r w:rsidRPr="008A5E1C">
              <w:rPr>
                <w:rFonts w:cstheme="minorHAnsi"/>
                <w:lang w:val="en-US"/>
              </w:rPr>
              <w:t>qflow</w:t>
            </w:r>
            <w:proofErr w:type="spellEnd"/>
            <w:r w:rsidRPr="008A5E1C">
              <w:rPr>
                <w:rFonts w:cstheme="minorHAnsi"/>
                <w:lang w:val="en-US"/>
              </w:rPr>
              <w:t>: pulse wave velocity</w:t>
            </w:r>
          </w:p>
          <w:p w14:paraId="4A39E9D5" w14:textId="77777777" w:rsidR="00DF1B4D" w:rsidRPr="008A5E1C" w:rsidRDefault="00DF1B4D" w:rsidP="00DF1B4D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>Short axis multi slice cine SSFP: systolic function, cardiac output, LV mass, LV volume.</w:t>
            </w:r>
          </w:p>
          <w:p w14:paraId="2ACC7575" w14:textId="77777777" w:rsidR="00DF1B4D" w:rsidRPr="008A5E1C" w:rsidRDefault="00DF1B4D" w:rsidP="00DF1B4D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>Phase contrast mitral flow: diastolic function</w:t>
            </w:r>
          </w:p>
          <w:p w14:paraId="7A060D1B" w14:textId="77777777" w:rsidR="0061070B" w:rsidRPr="008A5E1C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5531CB3B" w14:textId="77777777" w:rsidR="00E0781A" w:rsidRPr="008A5E1C" w:rsidRDefault="0061070B" w:rsidP="006107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 xml:space="preserve">Brain </w:t>
            </w:r>
            <w:r w:rsidR="00E0781A" w:rsidRPr="008A5E1C">
              <w:rPr>
                <w:rFonts w:cstheme="minorHAnsi"/>
                <w:lang w:val="en-US"/>
              </w:rPr>
              <w:t>MRI</w:t>
            </w:r>
            <w:r w:rsidRPr="008A5E1C">
              <w:rPr>
                <w:rFonts w:cstheme="minorHAnsi"/>
                <w:lang w:val="en-US"/>
              </w:rPr>
              <w:t xml:space="preserve"> (</w:t>
            </w:r>
            <w:r w:rsidR="00D2372D" w:rsidRPr="008A5E1C">
              <w:rPr>
                <w:rFonts w:cstheme="minorHAnsi"/>
                <w:lang w:val="en-US"/>
              </w:rPr>
              <w:t>BA</w:t>
            </w:r>
            <w:r w:rsidRPr="008A5E1C">
              <w:rPr>
                <w:rFonts w:cstheme="minorHAnsi"/>
                <w:lang w:val="en-US"/>
              </w:rPr>
              <w:t>, FU2)</w:t>
            </w:r>
          </w:p>
          <w:p w14:paraId="724E6B2D" w14:textId="77777777" w:rsidR="00DE32A1" w:rsidRPr="008A5E1C" w:rsidRDefault="00DE32A1" w:rsidP="00DE32A1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8A5E1C">
              <w:rPr>
                <w:rFonts w:cstheme="minorHAnsi"/>
                <w:lang w:val="en-US"/>
              </w:rPr>
              <w:t>Neuroradiological</w:t>
            </w:r>
            <w:proofErr w:type="spellEnd"/>
            <w:r w:rsidRPr="008A5E1C">
              <w:rPr>
                <w:rFonts w:cstheme="minorHAnsi"/>
                <w:lang w:val="en-US"/>
              </w:rPr>
              <w:t xml:space="preserve"> </w:t>
            </w:r>
            <w:r w:rsidR="00DF1B4D" w:rsidRPr="008A5E1C">
              <w:rPr>
                <w:rFonts w:cstheme="minorHAnsi"/>
                <w:lang w:val="en-US"/>
              </w:rPr>
              <w:t>ratings</w:t>
            </w:r>
            <w:r w:rsidRPr="008A5E1C">
              <w:rPr>
                <w:rFonts w:cstheme="minorHAnsi"/>
                <w:lang w:val="en-US"/>
              </w:rPr>
              <w:t xml:space="preserve"> of vascular </w:t>
            </w:r>
            <w:r w:rsidR="00DF1B4D" w:rsidRPr="008A5E1C">
              <w:rPr>
                <w:rFonts w:cstheme="minorHAnsi"/>
                <w:lang w:val="en-US"/>
              </w:rPr>
              <w:t>pathologies</w:t>
            </w:r>
          </w:p>
          <w:p w14:paraId="457287E5" w14:textId="77777777" w:rsidR="00DF1B4D" w:rsidRPr="008A5E1C" w:rsidRDefault="00DF1B4D" w:rsidP="00DE32A1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 xml:space="preserve">T1-weighted: Structural status: atrophy (brain volumes) </w:t>
            </w:r>
          </w:p>
          <w:p w14:paraId="55D4416B" w14:textId="77777777" w:rsidR="00DF1B4D" w:rsidRPr="008A5E1C" w:rsidRDefault="00DF1B4D" w:rsidP="00DE32A1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 xml:space="preserve">FLAIR: white matter </w:t>
            </w:r>
            <w:proofErr w:type="spellStart"/>
            <w:r w:rsidR="00B62B76" w:rsidRPr="008A5E1C">
              <w:rPr>
                <w:rFonts w:cstheme="minorHAnsi"/>
                <w:lang w:val="en-US"/>
              </w:rPr>
              <w:t>hyperintensities</w:t>
            </w:r>
            <w:proofErr w:type="spellEnd"/>
            <w:r w:rsidRPr="008A5E1C">
              <w:rPr>
                <w:rFonts w:cstheme="minorHAnsi"/>
                <w:lang w:val="en-US"/>
              </w:rPr>
              <w:t xml:space="preserve"> and infarcts</w:t>
            </w:r>
          </w:p>
          <w:p w14:paraId="4ADE8EEC" w14:textId="77777777" w:rsidR="00DF1B4D" w:rsidRPr="008A5E1C" w:rsidRDefault="00DF1B4D" w:rsidP="00DE32A1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 xml:space="preserve">SWI: </w:t>
            </w:r>
            <w:proofErr w:type="spellStart"/>
            <w:r w:rsidRPr="008A5E1C">
              <w:rPr>
                <w:rFonts w:cstheme="minorHAnsi"/>
                <w:lang w:val="en-US"/>
              </w:rPr>
              <w:t>microbleeds</w:t>
            </w:r>
            <w:proofErr w:type="spellEnd"/>
          </w:p>
          <w:p w14:paraId="571DC089" w14:textId="6C0C7C73" w:rsidR="00DF1B4D" w:rsidRPr="008A5E1C" w:rsidRDefault="00DF1B4D" w:rsidP="00DE32A1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>ASL: whole brain</w:t>
            </w:r>
            <w:r w:rsidR="007F57DA" w:rsidRPr="008A5E1C">
              <w:rPr>
                <w:rFonts w:cstheme="minorHAnsi"/>
                <w:lang w:val="en-US"/>
              </w:rPr>
              <w:t xml:space="preserve"> and regional</w:t>
            </w:r>
            <w:r w:rsidRPr="008A5E1C">
              <w:rPr>
                <w:rFonts w:cstheme="minorHAnsi"/>
                <w:lang w:val="en-US"/>
              </w:rPr>
              <w:t xml:space="preserve"> perfusion at rest</w:t>
            </w:r>
          </w:p>
          <w:p w14:paraId="2B702894" w14:textId="77777777" w:rsidR="00DF1B4D" w:rsidRPr="008A5E1C" w:rsidRDefault="00DF1B4D" w:rsidP="00DE32A1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>Phase contrast flow measurement: total cerebral blood flow</w:t>
            </w:r>
          </w:p>
          <w:p w14:paraId="08D18352" w14:textId="77777777" w:rsidR="001A4630" w:rsidRPr="008A5E1C" w:rsidRDefault="001A4630" w:rsidP="001A46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68A79430" w14:textId="77777777" w:rsidR="00E0781A" w:rsidRPr="00557129" w:rsidRDefault="001A4630" w:rsidP="001A46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8A5E1C">
              <w:rPr>
                <w:rFonts w:cstheme="minorHAnsi"/>
                <w:lang w:val="en-US"/>
              </w:rPr>
              <w:t xml:space="preserve">Biomarkers from blood </w:t>
            </w:r>
            <w:r w:rsidRPr="00557129">
              <w:rPr>
                <w:rFonts w:cstheme="minorHAnsi"/>
                <w:lang w:val="en-US"/>
              </w:rPr>
              <w:t>(BA)</w:t>
            </w:r>
          </w:p>
          <w:p w14:paraId="7FECE680" w14:textId="77777777" w:rsidR="001A4630" w:rsidRPr="00557129" w:rsidRDefault="00DF1B4D" w:rsidP="001A4630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Routine measurements </w:t>
            </w:r>
          </w:p>
          <w:p w14:paraId="3E53C060" w14:textId="77777777" w:rsidR="001A4630" w:rsidRPr="00557129" w:rsidRDefault="001A4630" w:rsidP="001A4630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OLINK panel </w:t>
            </w:r>
            <w:r w:rsidR="00DE32A1" w:rsidRPr="00557129">
              <w:rPr>
                <w:rFonts w:cstheme="minorHAnsi"/>
                <w:lang w:val="en-US"/>
              </w:rPr>
              <w:t xml:space="preserve">focused on … </w:t>
            </w:r>
          </w:p>
          <w:p w14:paraId="2E07F0BA" w14:textId="77777777" w:rsidR="001A4630" w:rsidRPr="00557129" w:rsidRDefault="001A4630" w:rsidP="001A4630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T0_NTproBNP</w:t>
            </w:r>
          </w:p>
          <w:p w14:paraId="01AADED9" w14:textId="77777777" w:rsidR="001A4630" w:rsidRPr="00557129" w:rsidRDefault="001A4630" w:rsidP="001A4630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T0_hsTroponinepgmL</w:t>
            </w:r>
          </w:p>
          <w:p w14:paraId="1333E50E" w14:textId="77777777" w:rsidR="001A4630" w:rsidRPr="00557129" w:rsidRDefault="001A4630" w:rsidP="001A46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48E702BC" w14:textId="77777777" w:rsidR="00E0781A" w:rsidRPr="00557129" w:rsidRDefault="001A4630" w:rsidP="001A46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Biomarkers from cerebrospinal fluid (BA)&gt;&gt; for a subset of VCI patients</w:t>
            </w:r>
          </w:p>
          <w:p w14:paraId="6160BD10" w14:textId="77777777" w:rsidR="001A4630" w:rsidRPr="00557129" w:rsidRDefault="001A4630" w:rsidP="001A4630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Alzheimer biomarkers</w:t>
            </w:r>
          </w:p>
          <w:p w14:paraId="5741F5B0" w14:textId="77777777" w:rsidR="0061070B" w:rsidRPr="00557129" w:rsidRDefault="0061070B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187B49D7" w14:textId="77777777" w:rsidR="00E0781A" w:rsidRPr="00557129" w:rsidRDefault="00E0781A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 xml:space="preserve">24-hour blood pressure </w:t>
            </w:r>
            <w:r w:rsidR="0061070B" w:rsidRPr="00557129">
              <w:rPr>
                <w:rFonts w:cstheme="minorHAnsi"/>
                <w:lang w:val="en-US"/>
              </w:rPr>
              <w:t xml:space="preserve">(baseline) </w:t>
            </w:r>
            <w:r w:rsidRPr="00557129">
              <w:rPr>
                <w:rFonts w:cstheme="minorHAnsi"/>
                <w:lang w:val="en-US"/>
              </w:rPr>
              <w:t>&gt;&gt; data not available yet</w:t>
            </w:r>
          </w:p>
          <w:p w14:paraId="4CCC7BF8" w14:textId="77777777" w:rsidR="0061070B" w:rsidRPr="00557129" w:rsidRDefault="0061070B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14:paraId="5BBCC224" w14:textId="77777777" w:rsidR="00E0781A" w:rsidRPr="00557129" w:rsidRDefault="001A4630" w:rsidP="00E078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557129">
              <w:rPr>
                <w:rFonts w:cstheme="minorHAnsi"/>
                <w:lang w:val="en-US"/>
              </w:rPr>
              <w:t>Echocardiography</w:t>
            </w:r>
            <w:r w:rsidR="00E0781A" w:rsidRPr="00557129">
              <w:rPr>
                <w:rFonts w:cstheme="minorHAnsi"/>
                <w:lang w:val="en-US"/>
              </w:rPr>
              <w:t xml:space="preserve"> </w:t>
            </w:r>
            <w:r w:rsidR="0061070B" w:rsidRPr="00557129">
              <w:rPr>
                <w:rFonts w:cstheme="minorHAnsi"/>
                <w:lang w:val="en-US"/>
              </w:rPr>
              <w:t>(baseline)</w:t>
            </w:r>
            <w:r w:rsidR="00E0781A" w:rsidRPr="00557129">
              <w:rPr>
                <w:rFonts w:cstheme="minorHAnsi"/>
                <w:lang w:val="en-US"/>
              </w:rPr>
              <w:t>&gt;&gt; data not available yet</w:t>
            </w:r>
          </w:p>
          <w:p w14:paraId="7370D23D" w14:textId="77777777" w:rsidR="000C63D7" w:rsidRPr="00557129" w:rsidRDefault="000C63D7" w:rsidP="00DF1B4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14:paraId="4A3E7555" w14:textId="77777777" w:rsidR="00DF1B4D" w:rsidRPr="00557129" w:rsidRDefault="00DF1B4D" w:rsidP="00DF1B4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557129">
              <w:rPr>
                <w:rFonts w:eastAsia="Times New Roman" w:cstheme="minorHAnsi"/>
                <w:lang w:val="en-US"/>
              </w:rPr>
              <w:t>Telephone interview focused on clinical outcomes (FU 50M)</w:t>
            </w:r>
          </w:p>
          <w:p w14:paraId="59280B6E" w14:textId="77777777" w:rsidR="00DF1B4D" w:rsidRPr="00557129" w:rsidRDefault="00DF1B4D" w:rsidP="00DF1B4D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557129">
              <w:rPr>
                <w:rFonts w:eastAsia="Times New Roman" w:cstheme="minorHAnsi"/>
                <w:lang w:val="en-US"/>
              </w:rPr>
              <w:t>Course of cognitive symptoms</w:t>
            </w:r>
          </w:p>
          <w:p w14:paraId="704B54B9" w14:textId="77777777" w:rsidR="00DF1B4D" w:rsidRPr="00557129" w:rsidRDefault="00DF1B4D" w:rsidP="00DF1B4D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557129">
              <w:rPr>
                <w:rFonts w:eastAsia="Times New Roman" w:cstheme="minorHAnsi"/>
                <w:lang w:val="en-US"/>
              </w:rPr>
              <w:t>Interference symptoms in daily life</w:t>
            </w:r>
          </w:p>
          <w:p w14:paraId="14FE2E47" w14:textId="77777777" w:rsidR="00DF1B4D" w:rsidRPr="00557129" w:rsidRDefault="00DF1B4D" w:rsidP="00DF1B4D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557129">
              <w:rPr>
                <w:rFonts w:eastAsia="Times New Roman" w:cstheme="minorHAnsi"/>
                <w:lang w:val="en-US"/>
              </w:rPr>
              <w:t>Clinically relevant events: dementia, cerebrovascular, cardiovascular, hospital</w:t>
            </w:r>
          </w:p>
          <w:p w14:paraId="76421103" w14:textId="77777777" w:rsidR="00DF1B4D" w:rsidRPr="00557129" w:rsidRDefault="00DF1B4D" w:rsidP="00DF1B4D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557129">
              <w:rPr>
                <w:rFonts w:eastAsia="Times New Roman" w:cstheme="minorHAnsi"/>
                <w:lang w:val="en-US"/>
              </w:rPr>
              <w:t>Mobility and falling</w:t>
            </w:r>
          </w:p>
          <w:p w14:paraId="5F939B45" w14:textId="77777777" w:rsidR="00DF1B4D" w:rsidRPr="00557129" w:rsidRDefault="00DF1B4D" w:rsidP="00DF1B4D">
            <w:pPr>
              <w:pStyle w:val="Lijstaline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557129">
              <w:rPr>
                <w:rFonts w:eastAsia="Times New Roman" w:cstheme="minorHAnsi"/>
                <w:lang w:val="en-US"/>
              </w:rPr>
              <w:t>Telephonized</w:t>
            </w:r>
            <w:proofErr w:type="spellEnd"/>
            <w:r w:rsidRPr="00557129">
              <w:rPr>
                <w:rFonts w:eastAsia="Times New Roman" w:cstheme="minorHAnsi"/>
                <w:lang w:val="en-US"/>
              </w:rPr>
              <w:t xml:space="preserve"> screening cognitive status (TICS-M)</w:t>
            </w:r>
          </w:p>
          <w:p w14:paraId="3CB89795" w14:textId="77777777" w:rsidR="00DF1B4D" w:rsidRPr="00557129" w:rsidRDefault="00DF1B4D" w:rsidP="00DF1B4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0C63D7" w:rsidRPr="00557129" w14:paraId="4DF4EBB5" w14:textId="77777777" w:rsidTr="000C63D7">
        <w:tc>
          <w:tcPr>
            <w:tcW w:w="1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F77B" w14:textId="77777777" w:rsidR="000C63D7" w:rsidRPr="00557129" w:rsidRDefault="000C63D7" w:rsidP="000C63D7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Availability and Type of -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omic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data</w:t>
            </w:r>
          </w:p>
        </w:tc>
        <w:tc>
          <w:tcPr>
            <w:tcW w:w="39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FB36" w14:textId="77777777" w:rsidR="000C63D7" w:rsidRPr="00557129" w:rsidRDefault="000C63D7" w:rsidP="0061070B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</w:t>
            </w:r>
            <w:proofErr w:type="spellStart"/>
            <w:r w:rsidR="0061070B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n.a</w:t>
            </w:r>
            <w:proofErr w:type="spellEnd"/>
            <w:r w:rsidR="0061070B"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0C63D7" w:rsidRPr="00557129" w14:paraId="07E4B724" w14:textId="77777777" w:rsidTr="000C63D7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539" w14:textId="77777777" w:rsidR="000C63D7" w:rsidRPr="00557129" w:rsidRDefault="000C63D7" w:rsidP="000B2B3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Design paper</w:t>
            </w: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36B6" w14:textId="77777777" w:rsidR="000C63D7" w:rsidRPr="00557129" w:rsidRDefault="0061070B" w:rsidP="0061070B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Hooghiemstra AM, Bertens AS, Leeuwis AE, Bron EE, Bots ML,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Brunner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-La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Rocca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HP, de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Craen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AJM, van der Geest RJ, Greving JP, Kappelle LJ,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Niessen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WJ, van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Oostenbrugge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RJ, van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Osch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MJP, de Roos A, van Rossum AC, Biessels GJ, van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Buchem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MA, Daemen MJAP, van der Flier WM; Heart-Brain Connection </w:t>
            </w:r>
            <w:r w:rsidRPr="005571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Consortium. </w:t>
            </w:r>
            <w:r w:rsidRPr="005571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Missing Link in the Pathophysiology of Vascular Cognitive Impairment: Design of the Heart-Brain Study.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Cerebrovasc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Dis Extra. 2017;7(3):140-152.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doi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: 10.1159/000480738.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Epub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2017 </w:t>
            </w:r>
            <w:proofErr w:type="spellStart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>Oct</w:t>
            </w:r>
            <w:proofErr w:type="spellEnd"/>
            <w:r w:rsidRPr="00557129">
              <w:rPr>
                <w:rFonts w:asciiTheme="minorHAnsi" w:hAnsiTheme="minorHAnsi" w:cstheme="minorHAnsi"/>
                <w:sz w:val="22"/>
                <w:szCs w:val="22"/>
              </w:rPr>
              <w:t xml:space="preserve"> 10. PMID: 29017156; PMCID: PMC5730112.</w:t>
            </w:r>
          </w:p>
        </w:tc>
      </w:tr>
      <w:tr w:rsidR="000C63D7" w:rsidRPr="00557129" w14:paraId="12DAD716" w14:textId="77777777" w:rsidTr="000C63D7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9D71" w14:textId="77777777" w:rsidR="000C63D7" w:rsidRPr="00557129" w:rsidRDefault="000C63D7" w:rsidP="000B2B3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5712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Website </w:t>
            </w:r>
          </w:p>
        </w:tc>
        <w:tc>
          <w:tcPr>
            <w:tcW w:w="3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EF30" w14:textId="77777777" w:rsidR="000C63D7" w:rsidRPr="00557129" w:rsidRDefault="004E08E9" w:rsidP="0061070B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6" w:history="1">
              <w:r w:rsidR="0061070B" w:rsidRPr="0055712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https://hart-brein.nl/</w:t>
              </w:r>
            </w:hyperlink>
            <w:r w:rsidR="0061070B" w:rsidRPr="0055712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07A27E1" w14:textId="77777777" w:rsidR="00484913" w:rsidRPr="00557129" w:rsidRDefault="00484913">
      <w:pPr>
        <w:rPr>
          <w:rFonts w:cstheme="minorHAnsi"/>
        </w:rPr>
      </w:pPr>
    </w:p>
    <w:sectPr w:rsidR="00484913" w:rsidRPr="0055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C7DF" w16cex:dateUtc="2021-10-15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1B549" w16cid:durableId="2513C7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18"/>
    <w:multiLevelType w:val="hybridMultilevel"/>
    <w:tmpl w:val="57F26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524"/>
    <w:multiLevelType w:val="multilevel"/>
    <w:tmpl w:val="A20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E7967"/>
    <w:multiLevelType w:val="hybridMultilevel"/>
    <w:tmpl w:val="80CEEF7A"/>
    <w:lvl w:ilvl="0" w:tplc="B0D21210">
      <w:start w:val="566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AB7"/>
    <w:multiLevelType w:val="multilevel"/>
    <w:tmpl w:val="232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D4B07"/>
    <w:multiLevelType w:val="hybridMultilevel"/>
    <w:tmpl w:val="FC5CF08A"/>
    <w:lvl w:ilvl="0" w:tplc="B0D21210">
      <w:start w:val="566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8A4"/>
    <w:multiLevelType w:val="multilevel"/>
    <w:tmpl w:val="706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9143E"/>
    <w:multiLevelType w:val="hybridMultilevel"/>
    <w:tmpl w:val="694E4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8AB"/>
    <w:multiLevelType w:val="multilevel"/>
    <w:tmpl w:val="3B8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906E6"/>
    <w:multiLevelType w:val="hybridMultilevel"/>
    <w:tmpl w:val="A6883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1FB4"/>
    <w:multiLevelType w:val="hybridMultilevel"/>
    <w:tmpl w:val="F65E0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A53B3"/>
    <w:multiLevelType w:val="hybridMultilevel"/>
    <w:tmpl w:val="812295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92F68"/>
    <w:multiLevelType w:val="multilevel"/>
    <w:tmpl w:val="AFAC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EF40CB"/>
    <w:multiLevelType w:val="hybridMultilevel"/>
    <w:tmpl w:val="F94C9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6ACB"/>
    <w:multiLevelType w:val="hybridMultilevel"/>
    <w:tmpl w:val="575E3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0ED1"/>
    <w:multiLevelType w:val="hybridMultilevel"/>
    <w:tmpl w:val="34A2B5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669F"/>
    <w:multiLevelType w:val="hybridMultilevel"/>
    <w:tmpl w:val="32FA0F1A"/>
    <w:lvl w:ilvl="0" w:tplc="B0D21210">
      <w:start w:val="566"/>
      <w:numFmt w:val="bullet"/>
      <w:lvlText w:val="-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1757"/>
    <w:multiLevelType w:val="multilevel"/>
    <w:tmpl w:val="196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AE372A"/>
    <w:multiLevelType w:val="hybridMultilevel"/>
    <w:tmpl w:val="B65A1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31593"/>
    <w:multiLevelType w:val="hybridMultilevel"/>
    <w:tmpl w:val="A5207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3C58"/>
    <w:multiLevelType w:val="multilevel"/>
    <w:tmpl w:val="9C8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0B364B"/>
    <w:multiLevelType w:val="hybridMultilevel"/>
    <w:tmpl w:val="6A9686B6"/>
    <w:lvl w:ilvl="0" w:tplc="BD7CC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7"/>
  </w:num>
  <w:num w:numId="11">
    <w:abstractNumId w:val="0"/>
  </w:num>
  <w:num w:numId="12">
    <w:abstractNumId w:val="12"/>
  </w:num>
  <w:num w:numId="13">
    <w:abstractNumId w:val="18"/>
  </w:num>
  <w:num w:numId="14">
    <w:abstractNumId w:val="9"/>
  </w:num>
  <w:num w:numId="15">
    <w:abstractNumId w:val="20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7"/>
    <w:rsid w:val="00032764"/>
    <w:rsid w:val="000C63D7"/>
    <w:rsid w:val="0019705C"/>
    <w:rsid w:val="001A4630"/>
    <w:rsid w:val="00484913"/>
    <w:rsid w:val="004E08E9"/>
    <w:rsid w:val="004F14F1"/>
    <w:rsid w:val="00557129"/>
    <w:rsid w:val="005F78ED"/>
    <w:rsid w:val="0061070B"/>
    <w:rsid w:val="00671308"/>
    <w:rsid w:val="007F57DA"/>
    <w:rsid w:val="008A5E1C"/>
    <w:rsid w:val="009C3973"/>
    <w:rsid w:val="00AC2480"/>
    <w:rsid w:val="00B62B76"/>
    <w:rsid w:val="00CC0C91"/>
    <w:rsid w:val="00D2372D"/>
    <w:rsid w:val="00DD47C5"/>
    <w:rsid w:val="00DE32A1"/>
    <w:rsid w:val="00DF1B4D"/>
    <w:rsid w:val="00DF662D"/>
    <w:rsid w:val="00E0781A"/>
    <w:rsid w:val="00E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798"/>
  <w15:chartTrackingRefBased/>
  <w15:docId w15:val="{6526D5CE-4BC2-4591-976A-EE925B0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3D7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spacing">
    <w:name w:val="x_msonospacing"/>
    <w:basedOn w:val="Standaard"/>
    <w:rsid w:val="000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0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63D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781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F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57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t-brein.nl/" TargetMode="External"/><Relationship Id="rId5" Type="http://schemas.openxmlformats.org/officeDocument/2006/relationships/hyperlink" Target="mailto:a.hooghiemstra@amsterdamumc.n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Lakerveld, J. (Jeroen)</dc:creator>
  <cp:keywords/>
  <dc:description/>
  <cp:lastModifiedBy>Timmermans-5, E.J. (Erik)</cp:lastModifiedBy>
  <cp:revision>2</cp:revision>
  <dcterms:created xsi:type="dcterms:W3CDTF">2021-11-02T10:59:00Z</dcterms:created>
  <dcterms:modified xsi:type="dcterms:W3CDTF">2021-11-02T10:59:00Z</dcterms:modified>
</cp:coreProperties>
</file>